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65CF" w14:textId="77777777" w:rsidR="001357F9" w:rsidRPr="00E71960" w:rsidRDefault="001357F9" w:rsidP="001357F9">
      <w:pPr>
        <w:spacing w:line="240" w:lineRule="auto"/>
        <w:rPr>
          <w:rFonts w:ascii="GoudyOldSty" w:hAnsi="GoudyOldSty"/>
          <w:b/>
          <w:color w:val="000000" w:themeColor="text1"/>
          <w:sz w:val="20"/>
          <w:szCs w:val="20"/>
        </w:rPr>
      </w:pPr>
      <w:bookmarkStart w:id="0" w:name="_Hlk122285101"/>
      <w:r w:rsidRPr="00E71960">
        <w:rPr>
          <w:rFonts w:ascii="GoudyOldSty" w:hAnsi="GoudyOldSty"/>
          <w:b/>
          <w:color w:val="000000" w:themeColor="text1"/>
          <w:spacing w:val="40"/>
          <w:sz w:val="56"/>
          <w:szCs w:val="144"/>
        </w:rPr>
        <w:t>NEWS</w:t>
      </w:r>
    </w:p>
    <w:p w14:paraId="65A47A4F" w14:textId="77777777" w:rsidR="001357F9" w:rsidRDefault="001357F9" w:rsidP="001357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1F506CE" w14:textId="5280C2D1" w:rsidR="001357F9" w:rsidRPr="00800B9A" w:rsidRDefault="001357F9" w:rsidP="001357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B9A">
        <w:rPr>
          <w:rFonts w:ascii="Times New Roman" w:hAnsi="Times New Roman" w:cs="Times New Roman"/>
          <w:color w:val="000000"/>
          <w:sz w:val="24"/>
          <w:szCs w:val="24"/>
          <w:u w:val="single"/>
        </w:rPr>
        <w:t>FOR IMMEDIATE RELEASE</w:t>
      </w:r>
      <w:r w:rsidRPr="00800B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="00FB232F">
        <w:rPr>
          <w:rFonts w:ascii="Times New Roman" w:hAnsi="Times New Roman" w:cs="Times New Roman"/>
          <w:color w:val="000000"/>
          <w:sz w:val="24"/>
          <w:szCs w:val="24"/>
        </w:rPr>
        <w:t>y 2</w:t>
      </w:r>
      <w:r>
        <w:rPr>
          <w:rFonts w:ascii="Times New Roman" w:hAnsi="Times New Roman" w:cs="Times New Roman"/>
          <w:color w:val="000000"/>
          <w:sz w:val="24"/>
          <w:szCs w:val="24"/>
        </w:rPr>
        <w:t>, 2023</w:t>
      </w:r>
    </w:p>
    <w:p w14:paraId="6013126E" w14:textId="77777777" w:rsidR="001357F9" w:rsidRPr="00800B9A" w:rsidRDefault="001357F9" w:rsidP="001357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B9A">
        <w:rPr>
          <w:rFonts w:ascii="Times New Roman" w:hAnsi="Times New Roman" w:cs="Times New Roman"/>
          <w:color w:val="000000"/>
          <w:sz w:val="24"/>
          <w:szCs w:val="24"/>
        </w:rPr>
        <w:t xml:space="preserve">Contact: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Pequignot</w:t>
      </w:r>
      <w:proofErr w:type="spellEnd"/>
      <w:r w:rsidRPr="00800B9A">
        <w:rPr>
          <w:rFonts w:ascii="Times New Roman" w:hAnsi="Times New Roman" w:cs="Times New Roman"/>
          <w:color w:val="000000"/>
          <w:sz w:val="24"/>
          <w:szCs w:val="24"/>
        </w:rPr>
        <w:t xml:space="preserve">, Weakley County Long Term Recovery Group </w:t>
      </w:r>
      <w:r>
        <w:rPr>
          <w:rFonts w:ascii="Times New Roman" w:hAnsi="Times New Roman" w:cs="Times New Roman"/>
          <w:color w:val="000000"/>
          <w:sz w:val="24"/>
          <w:szCs w:val="24"/>
        </w:rPr>
        <w:t>Program Coordinator</w:t>
      </w:r>
    </w:p>
    <w:p w14:paraId="56B70111" w14:textId="77777777" w:rsidR="001357F9" w:rsidRPr="00800B9A" w:rsidRDefault="001357F9" w:rsidP="001357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0D3B9" w14:textId="77777777" w:rsidR="001357F9" w:rsidRPr="00800B9A" w:rsidRDefault="001357F9" w:rsidP="001357F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WEAKLEY COUNTY LONG TERM RECOVERY GROUP UPDATE </w:t>
      </w:r>
    </w:p>
    <w:p w14:paraId="2BB74549" w14:textId="77777777" w:rsidR="001357F9" w:rsidRPr="00800B9A" w:rsidRDefault="001357F9" w:rsidP="001357F9">
      <w:pPr>
        <w:pStyle w:val="paragraph"/>
        <w:spacing w:before="0" w:beforeAutospacing="0" w:after="0" w:afterAutospacing="0"/>
        <w:ind w:firstLine="720"/>
        <w:textAlignment w:val="baseline"/>
      </w:pPr>
    </w:p>
    <w:p w14:paraId="34FB5084" w14:textId="5835C7CB" w:rsidR="001357F9" w:rsidRDefault="001357F9" w:rsidP="00FB232F">
      <w:pPr>
        <w:spacing w:line="480" w:lineRule="auto"/>
        <w:rPr>
          <w:rFonts w:ascii="Constantia" w:eastAsia="Calibri" w:hAnsi="Constantia" w:cs="Times New Roman"/>
        </w:rPr>
      </w:pPr>
      <w:r w:rsidRPr="00800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DRESDEN, Tenn.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Weakley County Long Term Recovery Group </w:t>
      </w:r>
      <w:r w:rsidR="00FB2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would like to announce its partnership with </w:t>
      </w:r>
      <w:r w:rsidR="00FB232F" w:rsidRPr="00FB232F">
        <w:rPr>
          <w:rFonts w:ascii="Constantia" w:eastAsia="Calibri" w:hAnsi="Constantia" w:cs="Times New Roman"/>
        </w:rPr>
        <w:t xml:space="preserve">The Community Foundation of Middle Tennessee with funding from the American Red Cross in the amount of $39,000 to support the recovery effort in Dresden. The Community Foundation of Middle Tennessee has also facilitated funding from the Global Giving Foundation totaling $30,000 and from The Matt Beaty Fund organized by Matt and </w:t>
      </w:r>
      <w:proofErr w:type="spellStart"/>
      <w:r w:rsidR="00FB232F" w:rsidRPr="00FB232F">
        <w:rPr>
          <w:rFonts w:ascii="Constantia" w:eastAsia="Calibri" w:hAnsi="Constantia" w:cs="Times New Roman"/>
        </w:rPr>
        <w:t>Jesica</w:t>
      </w:r>
      <w:proofErr w:type="spellEnd"/>
      <w:r w:rsidR="00FB232F" w:rsidRPr="00FB232F">
        <w:rPr>
          <w:rFonts w:ascii="Constantia" w:eastAsia="Calibri" w:hAnsi="Constantia" w:cs="Times New Roman"/>
        </w:rPr>
        <w:t xml:space="preserve"> Beaty in the amount of $20,000</w:t>
      </w:r>
      <w:r w:rsidR="00FB232F">
        <w:rPr>
          <w:rFonts w:ascii="Constantia" w:eastAsia="Calibri" w:hAnsi="Constantia" w:cs="Times New Roman"/>
        </w:rPr>
        <w:t xml:space="preserve">. </w:t>
      </w:r>
    </w:p>
    <w:p w14:paraId="5429A894" w14:textId="77777777" w:rsidR="00FB232F" w:rsidRPr="00FB232F" w:rsidRDefault="00FB232F" w:rsidP="00FB232F">
      <w:pPr>
        <w:rPr>
          <w:rFonts w:ascii="Constantia" w:eastAsia="Calibri" w:hAnsi="Constantia" w:cs="Times New Roman"/>
        </w:rPr>
      </w:pPr>
    </w:p>
    <w:p w14:paraId="30E9DCA2" w14:textId="2178ABB9" w:rsidR="001357F9" w:rsidRDefault="001357F9" w:rsidP="00FB232F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Weakley County Long Term Recovery Group has worked with the nonprofit organization, Convoy of Hope, to receive a</w:t>
      </w:r>
      <w:r w:rsidR="00FB2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large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donation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building materials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materials were delivered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April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 2023, and will be use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to meet the needs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survivors of the December 10, 2021, tornado.</w:t>
      </w:r>
      <w:r w:rsidR="00383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2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date, Convoy of Hope has delivered three truckloads of materials to Weakley County, TN. </w:t>
      </w:r>
    </w:p>
    <w:bookmarkEnd w:id="0"/>
    <w:p w14:paraId="16C207E6" w14:textId="77777777" w:rsidR="001357F9" w:rsidRPr="00242618" w:rsidRDefault="001357F9" w:rsidP="001357F9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2CB5BC40" w14:textId="798D3087" w:rsidR="001357F9" w:rsidRDefault="001357F9" w:rsidP="001357F9">
      <w:pPr>
        <w:pStyle w:val="paragraph"/>
        <w:spacing w:before="0" w:beforeAutospacing="0" w:after="0" w:afterAutospacing="0" w:line="480" w:lineRule="auto"/>
        <w:ind w:firstLine="720"/>
        <w:contextualSpacing/>
        <w:textAlignment w:val="baseline"/>
        <w:rPr>
          <w:color w:val="000000" w:themeColor="text1"/>
        </w:rPr>
      </w:pPr>
      <w:r w:rsidRPr="00800B9A">
        <w:t xml:space="preserve">As of </w:t>
      </w:r>
      <w:r>
        <w:t>April 26</w:t>
      </w:r>
      <w:r>
        <w:t>, 2023,</w:t>
      </w:r>
      <w:r w:rsidRPr="00800B9A">
        <w:t xml:space="preserve"> WCLTRG Allocations Committee has facilitated the payment of $</w:t>
      </w:r>
      <w:r>
        <w:t>2</w:t>
      </w:r>
      <w:r w:rsidR="00383C50">
        <w:t>70,104.70</w:t>
      </w:r>
      <w:r>
        <w:t xml:space="preserve"> </w:t>
      </w:r>
      <w:r w:rsidRPr="00800B9A">
        <w:t xml:space="preserve">to meet the needs of survivors in case management since its inception. Funding has been provided by </w:t>
      </w:r>
      <w:r w:rsidRPr="00800B9A">
        <w:rPr>
          <w:color w:val="000000" w:themeColor="text1"/>
        </w:rPr>
        <w:t xml:space="preserve">Dresden Church of Christ, Dresden First Baptist Church, Dresden Rotary Club, Greenfield Church of Christ, Lebanon Church of Christ, </w:t>
      </w:r>
      <w:r>
        <w:rPr>
          <w:color w:val="000000" w:themeColor="text1"/>
        </w:rPr>
        <w:t xml:space="preserve">Lutheran Disaster Relief, </w:t>
      </w:r>
      <w:r w:rsidRPr="00800B9A">
        <w:rPr>
          <w:color w:val="000000" w:themeColor="text1"/>
        </w:rPr>
        <w:t>Weakley County Baptist Association</w:t>
      </w:r>
      <w:r w:rsidR="00383C50">
        <w:rPr>
          <w:color w:val="000000" w:themeColor="text1"/>
        </w:rPr>
        <w:t>, and the Community Foundation of Middle Tennessee</w:t>
      </w:r>
      <w:r w:rsidRPr="00800B9A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These </w:t>
      </w:r>
      <w:r>
        <w:rPr>
          <w:color w:val="000000" w:themeColor="text1"/>
        </w:rPr>
        <w:lastRenderedPageBreak/>
        <w:t xml:space="preserve">organizations provided an additional $200,920.00 in assistance to survivors prior to the creation of the WCLTRG in addition to food, toiletries, appliances, and clothing. 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4"/>
        <w:gridCol w:w="1980"/>
      </w:tblGrid>
      <w:tr w:rsidR="001357F9" w:rsidRPr="009C02F2" w14:paraId="26460A97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3B7D8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Auto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0B614" w14:textId="29DEB20D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</w:t>
            </w:r>
            <w:r w:rsidR="00E12D5B">
              <w:rPr>
                <w:rFonts w:ascii="Arial" w:eastAsia="Calibri" w:hAnsi="Arial" w:cs="Arial"/>
                <w:color w:val="000000"/>
              </w:rPr>
              <w:t>11</w:t>
            </w:r>
            <w:r w:rsidRPr="009C02F2">
              <w:rPr>
                <w:rFonts w:ascii="Arial" w:eastAsia="Calibri" w:hAnsi="Arial" w:cs="Arial"/>
                <w:color w:val="000000"/>
              </w:rPr>
              <w:t>,077.65</w:t>
            </w:r>
          </w:p>
        </w:tc>
      </w:tr>
      <w:tr w:rsidR="001357F9" w:rsidRPr="009C02F2" w14:paraId="075A9BDA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0F6DB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Construction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B0BA5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$71,455.89</w:t>
            </w:r>
          </w:p>
        </w:tc>
      </w:tr>
      <w:tr w:rsidR="001357F9" w:rsidRPr="009C02F2" w14:paraId="2788420B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9A4AE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Furniture/Appliances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F80AE" w14:textId="35371CE3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</w:t>
            </w:r>
            <w:r>
              <w:rPr>
                <w:rFonts w:ascii="Arial" w:eastAsia="Calibri" w:hAnsi="Arial" w:cs="Arial"/>
                <w:color w:val="000000"/>
              </w:rPr>
              <w:t>6</w:t>
            </w:r>
            <w:r w:rsidR="00E12D5B">
              <w:rPr>
                <w:rFonts w:ascii="Arial" w:eastAsia="Calibri" w:hAnsi="Arial" w:cs="Arial"/>
                <w:color w:val="000000"/>
              </w:rPr>
              <w:t>9,102</w:t>
            </w:r>
            <w:r>
              <w:rPr>
                <w:rFonts w:ascii="Arial" w:eastAsia="Calibri" w:hAnsi="Arial" w:cs="Arial"/>
                <w:color w:val="000000"/>
              </w:rPr>
              <w:t>.95</w:t>
            </w:r>
          </w:p>
        </w:tc>
      </w:tr>
      <w:tr w:rsidR="001357F9" w:rsidRPr="009C02F2" w14:paraId="49A4B077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A67A1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Home Repairs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657D6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</w:t>
            </w:r>
            <w:r>
              <w:rPr>
                <w:rFonts w:ascii="Arial" w:eastAsia="Calibri" w:hAnsi="Arial" w:cs="Arial"/>
                <w:color w:val="000000"/>
              </w:rPr>
              <w:t>56,080.53</w:t>
            </w:r>
          </w:p>
        </w:tc>
      </w:tr>
      <w:tr w:rsidR="001357F9" w:rsidRPr="009C02F2" w14:paraId="488739A3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2ABA8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Household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0317C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</w:t>
            </w:r>
            <w:r>
              <w:rPr>
                <w:rFonts w:ascii="Arial" w:eastAsia="Calibri" w:hAnsi="Arial" w:cs="Arial"/>
                <w:color w:val="000000"/>
              </w:rPr>
              <w:t>900.63</w:t>
            </w:r>
          </w:p>
        </w:tc>
      </w:tr>
      <w:tr w:rsidR="001357F9" w:rsidRPr="009C02F2" w14:paraId="04C258F4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B0905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Housing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5C062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$1</w:t>
            </w:r>
            <w:r>
              <w:rPr>
                <w:rFonts w:ascii="Arial" w:eastAsia="Calibri" w:hAnsi="Arial" w:cs="Arial"/>
                <w:color w:val="000000"/>
              </w:rPr>
              <w:t>8,645.00</w:t>
            </w:r>
          </w:p>
        </w:tc>
      </w:tr>
      <w:tr w:rsidR="001357F9" w:rsidRPr="009C02F2" w14:paraId="3630CCC8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B4AF4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Services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742F7" w14:textId="46196D6B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</w:t>
            </w:r>
            <w:r>
              <w:rPr>
                <w:rFonts w:ascii="Arial" w:eastAsia="Calibri" w:hAnsi="Arial" w:cs="Arial"/>
                <w:color w:val="000000"/>
              </w:rPr>
              <w:t>2</w:t>
            </w:r>
            <w:r w:rsidR="00E12D5B">
              <w:rPr>
                <w:rFonts w:ascii="Arial" w:eastAsia="Calibri" w:hAnsi="Arial" w:cs="Arial"/>
                <w:color w:val="000000"/>
              </w:rPr>
              <w:t>4,853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  <w:r w:rsidR="00E12D5B">
              <w:rPr>
                <w:rFonts w:ascii="Arial" w:eastAsia="Calibri" w:hAnsi="Arial" w:cs="Arial"/>
                <w:color w:val="000000"/>
              </w:rPr>
              <w:t>87</w:t>
            </w:r>
          </w:p>
        </w:tc>
      </w:tr>
      <w:tr w:rsidR="001357F9" w:rsidRPr="009C02F2" w14:paraId="37F46441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CE056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Storage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70841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$900.00</w:t>
            </w:r>
          </w:p>
        </w:tc>
      </w:tr>
      <w:tr w:rsidR="001357F9" w:rsidRPr="009C02F2" w14:paraId="40EC9F43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6E5C2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Supplies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91CA4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$16,714.23</w:t>
            </w:r>
          </w:p>
        </w:tc>
      </w:tr>
      <w:tr w:rsidR="001357F9" w:rsidRPr="009C02F2" w14:paraId="6B194281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6A574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9C02F2">
              <w:rPr>
                <w:rFonts w:ascii="Arial" w:eastAsia="Calibri" w:hAnsi="Arial" w:cs="Arial"/>
                <w:color w:val="000000"/>
              </w:rPr>
              <w:t>Personal Care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6445C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$373.95</w:t>
            </w:r>
          </w:p>
        </w:tc>
      </w:tr>
      <w:tr w:rsidR="001357F9" w:rsidRPr="009C02F2" w14:paraId="38815F9D" w14:textId="77777777" w:rsidTr="00985275">
        <w:trPr>
          <w:trHeight w:val="255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93AD6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2F3D7" w14:textId="77777777" w:rsidR="001357F9" w:rsidRPr="009C02F2" w:rsidRDefault="001357F9" w:rsidP="00985275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57F9" w:rsidRPr="009C02F2" w14:paraId="4B2EEA5F" w14:textId="77777777" w:rsidTr="00985275">
        <w:trPr>
          <w:trHeight w:val="263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DE213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C02F2">
              <w:rPr>
                <w:rFonts w:ascii="Arial" w:eastAsia="Calibri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distributed through WCLTRG as of March 27, 2023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6DD27" w14:textId="54C23F99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C02F2">
              <w:rPr>
                <w:rFonts w:ascii="Arial" w:eastAsia="Calibri" w:hAnsi="Arial" w:cs="Arial"/>
                <w:b/>
                <w:bCs/>
                <w:color w:val="000000"/>
              </w:rPr>
              <w:t>$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  <w:r w:rsidR="00383C50">
              <w:rPr>
                <w:rFonts w:ascii="Arial" w:eastAsia="Calibri" w:hAnsi="Arial" w:cs="Arial"/>
                <w:b/>
                <w:bCs/>
                <w:color w:val="000000"/>
              </w:rPr>
              <w:t>70,104.70</w:t>
            </w:r>
          </w:p>
        </w:tc>
      </w:tr>
      <w:tr w:rsidR="001357F9" w:rsidRPr="009C02F2" w14:paraId="20AA25A1" w14:textId="77777777" w:rsidTr="00985275">
        <w:trPr>
          <w:trHeight w:val="263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22A1B" w14:textId="77777777" w:rsidR="001357F9" w:rsidRPr="009C02F2" w:rsidRDefault="001357F9" w:rsidP="00985275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Total distributed by funders prior to WCLTRG formation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647B8" w14:textId="77777777" w:rsidR="001357F9" w:rsidRPr="009C02F2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$200,920.00</w:t>
            </w:r>
          </w:p>
        </w:tc>
      </w:tr>
      <w:tr w:rsidR="001357F9" w:rsidRPr="009C02F2" w14:paraId="73668926" w14:textId="77777777" w:rsidTr="00985275">
        <w:trPr>
          <w:trHeight w:val="263"/>
          <w:jc w:val="center"/>
        </w:trPr>
        <w:tc>
          <w:tcPr>
            <w:tcW w:w="6304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2456A" w14:textId="77777777" w:rsidR="001357F9" w:rsidRDefault="001357F9" w:rsidP="00985275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Total distributed to survivors by the funders</w:t>
            </w:r>
          </w:p>
        </w:tc>
        <w:tc>
          <w:tcPr>
            <w:tcW w:w="1980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DC8A0" w14:textId="23D8A1AC" w:rsidR="001357F9" w:rsidRDefault="001357F9" w:rsidP="00985275">
            <w:pPr>
              <w:spacing w:after="0"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$4</w:t>
            </w:r>
            <w:r w:rsidR="00383C50">
              <w:rPr>
                <w:rFonts w:ascii="Arial" w:eastAsia="Calibri" w:hAnsi="Arial" w:cs="Arial"/>
                <w:b/>
                <w:bCs/>
                <w:color w:val="000000"/>
              </w:rPr>
              <w:t>71,024.70</w:t>
            </w:r>
          </w:p>
        </w:tc>
      </w:tr>
    </w:tbl>
    <w:p w14:paraId="3FA86DA4" w14:textId="77777777" w:rsidR="001357F9" w:rsidRDefault="001357F9" w:rsidP="001357F9">
      <w:pPr>
        <w:pStyle w:val="paragraph"/>
        <w:spacing w:before="0" w:beforeAutospacing="0" w:after="0" w:afterAutospacing="0" w:line="480" w:lineRule="auto"/>
        <w:ind w:firstLine="720"/>
        <w:contextualSpacing/>
        <w:textAlignment w:val="baseline"/>
        <w:rPr>
          <w:color w:val="000000" w:themeColor="text1"/>
        </w:rPr>
      </w:pPr>
    </w:p>
    <w:p w14:paraId="3B8309B7" w14:textId="77777777" w:rsidR="001357F9" w:rsidRDefault="001357F9" w:rsidP="001357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D1882DB" w14:textId="058FDFD2" w:rsidR="001357F9" w:rsidRPr="00800B9A" w:rsidRDefault="001357F9" w:rsidP="001357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0B9A">
        <w:rPr>
          <w:rFonts w:ascii="Times New Roman" w:hAnsi="Times New Roman" w:cs="Times New Roman"/>
          <w:sz w:val="24"/>
          <w:szCs w:val="24"/>
        </w:rPr>
        <w:t xml:space="preserve">The following case management update was provided by UMCOR on </w:t>
      </w:r>
      <w:r>
        <w:rPr>
          <w:rFonts w:ascii="Times New Roman" w:hAnsi="Times New Roman" w:cs="Times New Roman"/>
          <w:sz w:val="24"/>
          <w:szCs w:val="24"/>
        </w:rPr>
        <w:t>April 26</w:t>
      </w:r>
      <w:r>
        <w:rPr>
          <w:rFonts w:ascii="Times New Roman" w:hAnsi="Times New Roman" w:cs="Times New Roman"/>
          <w:sz w:val="24"/>
          <w:szCs w:val="24"/>
        </w:rPr>
        <w:t>, 2023</w:t>
      </w:r>
      <w:r w:rsidRPr="00800B9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194"/>
        <w:gridCol w:w="2070"/>
      </w:tblGrid>
      <w:tr w:rsidR="001357F9" w:rsidRPr="00800B9A" w14:paraId="1C669D4B" w14:textId="77777777" w:rsidTr="00383C50">
        <w:trPr>
          <w:trHeight w:val="475"/>
        </w:trPr>
        <w:tc>
          <w:tcPr>
            <w:tcW w:w="6194" w:type="dxa"/>
            <w:shd w:val="clear" w:color="auto" w:fill="E7E6E6" w:themeFill="background2"/>
          </w:tcPr>
          <w:p w14:paraId="2060C914" w14:textId="77777777" w:rsidR="001357F9" w:rsidRPr="00800B9A" w:rsidRDefault="001357F9" w:rsidP="00985275">
            <w:pPr>
              <w:tabs>
                <w:tab w:val="left" w:pos="13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Cases</w:t>
            </w:r>
          </w:p>
        </w:tc>
        <w:tc>
          <w:tcPr>
            <w:tcW w:w="2070" w:type="dxa"/>
            <w:shd w:val="clear" w:color="auto" w:fill="E7E6E6" w:themeFill="background2"/>
          </w:tcPr>
          <w:p w14:paraId="3C0EBC9D" w14:textId="6176C8A4" w:rsidR="001357F9" w:rsidRPr="00800B9A" w:rsidRDefault="001357F9" w:rsidP="009852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C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57F9" w:rsidRPr="00800B9A" w14:paraId="69DC71CC" w14:textId="77777777" w:rsidTr="00383C50">
        <w:trPr>
          <w:trHeight w:val="479"/>
        </w:trPr>
        <w:tc>
          <w:tcPr>
            <w:tcW w:w="6194" w:type="dxa"/>
            <w:shd w:val="clear" w:color="auto" w:fill="E7E6E6" w:themeFill="background2"/>
          </w:tcPr>
          <w:p w14:paraId="27ACF9F3" w14:textId="77777777" w:rsidR="001357F9" w:rsidRPr="00800B9A" w:rsidRDefault="001357F9" w:rsidP="009852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9A">
              <w:rPr>
                <w:rFonts w:ascii="Times New Roman" w:hAnsi="Times New Roman" w:cs="Times New Roman"/>
                <w:sz w:val="24"/>
                <w:szCs w:val="24"/>
              </w:rPr>
              <w:t>Closed Cases</w:t>
            </w:r>
          </w:p>
        </w:tc>
        <w:tc>
          <w:tcPr>
            <w:tcW w:w="2070" w:type="dxa"/>
            <w:shd w:val="clear" w:color="auto" w:fill="E7E6E6" w:themeFill="background2"/>
          </w:tcPr>
          <w:p w14:paraId="31FD9F7E" w14:textId="624C21A4" w:rsidR="001357F9" w:rsidRDefault="00383C50" w:rsidP="009852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1357F9" w:rsidRPr="00800B9A" w14:paraId="2DD3C9FF" w14:textId="77777777" w:rsidTr="00383C50">
        <w:trPr>
          <w:trHeight w:val="475"/>
        </w:trPr>
        <w:tc>
          <w:tcPr>
            <w:tcW w:w="6194" w:type="dxa"/>
            <w:shd w:val="clear" w:color="auto" w:fill="E7E6E6" w:themeFill="background2"/>
          </w:tcPr>
          <w:p w14:paraId="490694D2" w14:textId="77777777" w:rsidR="001357F9" w:rsidRPr="00800B9A" w:rsidRDefault="001357F9" w:rsidP="009852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9A">
              <w:rPr>
                <w:rFonts w:ascii="Times New Roman" w:hAnsi="Times New Roman" w:cs="Times New Roman"/>
                <w:sz w:val="24"/>
                <w:szCs w:val="24"/>
              </w:rPr>
              <w:t>Awaiting Assignment to Case Manager</w:t>
            </w:r>
          </w:p>
        </w:tc>
        <w:tc>
          <w:tcPr>
            <w:tcW w:w="2070" w:type="dxa"/>
            <w:shd w:val="clear" w:color="auto" w:fill="E7E6E6" w:themeFill="background2"/>
          </w:tcPr>
          <w:p w14:paraId="1C8823D8" w14:textId="072BBADE" w:rsidR="001357F9" w:rsidRPr="00800B9A" w:rsidRDefault="00383C50" w:rsidP="009852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57F9" w:rsidRPr="00800B9A" w14:paraId="55EF9B2A" w14:textId="77777777" w:rsidTr="00383C50">
        <w:trPr>
          <w:trHeight w:val="479"/>
        </w:trPr>
        <w:tc>
          <w:tcPr>
            <w:tcW w:w="6194" w:type="dxa"/>
            <w:shd w:val="clear" w:color="auto" w:fill="E7E6E6" w:themeFill="background2"/>
          </w:tcPr>
          <w:p w14:paraId="30F8FBC7" w14:textId="77777777" w:rsidR="001357F9" w:rsidRPr="00800B9A" w:rsidRDefault="001357F9" w:rsidP="009852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and Rebuild projects in progress</w:t>
            </w:r>
          </w:p>
        </w:tc>
        <w:tc>
          <w:tcPr>
            <w:tcW w:w="2070" w:type="dxa"/>
            <w:shd w:val="clear" w:color="auto" w:fill="E7E6E6" w:themeFill="background2"/>
          </w:tcPr>
          <w:p w14:paraId="5ADFC75A" w14:textId="77777777" w:rsidR="001357F9" w:rsidRPr="00800B9A" w:rsidRDefault="001357F9" w:rsidP="009852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420816F" w14:textId="77777777" w:rsidR="001357F9" w:rsidRDefault="001357F9" w:rsidP="001357F9">
      <w:pPr>
        <w:pStyle w:val="paragraph"/>
        <w:spacing w:before="0" w:beforeAutospacing="0" w:after="0" w:afterAutospacing="0" w:line="480" w:lineRule="auto"/>
        <w:ind w:firstLine="720"/>
        <w:contextualSpacing/>
        <w:textAlignment w:val="baseline"/>
        <w:rPr>
          <w:color w:val="000000" w:themeColor="text1"/>
        </w:rPr>
      </w:pPr>
    </w:p>
    <w:p w14:paraId="4E125DBC" w14:textId="77777777" w:rsidR="001357F9" w:rsidRPr="003843B0" w:rsidRDefault="001357F9" w:rsidP="001357F9">
      <w:pPr>
        <w:pStyle w:val="paragraph"/>
        <w:spacing w:before="0" w:beforeAutospacing="0" w:after="0" w:afterAutospacing="0" w:line="480" w:lineRule="auto"/>
        <w:ind w:firstLine="720"/>
        <w:contextualSpacing/>
        <w:textAlignment w:val="baseline"/>
        <w:rPr>
          <w:color w:val="000000" w:themeColor="text1"/>
        </w:rPr>
      </w:pPr>
      <w:r w:rsidRPr="00800B9A">
        <w:rPr>
          <w:color w:val="000000" w:themeColor="text1"/>
        </w:rPr>
        <w:t>The Recovery Center is open Tuesdays and Thursday</w:t>
      </w:r>
      <w:r>
        <w:rPr>
          <w:color w:val="000000" w:themeColor="text1"/>
        </w:rPr>
        <w:t>s</w:t>
      </w:r>
      <w:r w:rsidRPr="00800B9A">
        <w:rPr>
          <w:color w:val="000000" w:themeColor="text1"/>
        </w:rPr>
        <w:t xml:space="preserve"> from 10 a.m. to 4 p.m. to support survivors locally. The center </w:t>
      </w:r>
      <w:r>
        <w:rPr>
          <w:color w:val="000000" w:themeColor="text1"/>
        </w:rPr>
        <w:t xml:space="preserve">is currently staffed by the Program Coordinator and </w:t>
      </w:r>
      <w:r w:rsidRPr="00800B9A">
        <w:rPr>
          <w:color w:val="000000" w:themeColor="text1"/>
        </w:rPr>
        <w:t xml:space="preserve">two case managers. Walk-ins are welcome or you can contact the center by calling </w:t>
      </w:r>
      <w:r>
        <w:rPr>
          <w:color w:val="000000" w:themeColor="text1"/>
        </w:rPr>
        <w:t xml:space="preserve">(731) </w:t>
      </w:r>
      <w:r w:rsidRPr="00800B9A">
        <w:rPr>
          <w:color w:val="000000" w:themeColor="text1"/>
        </w:rPr>
        <w:t xml:space="preserve">699-7913. </w:t>
      </w:r>
      <w:r>
        <w:rPr>
          <w:color w:val="000000" w:themeColor="text1"/>
        </w:rPr>
        <w:t xml:space="preserve">Please visit </w:t>
      </w:r>
      <w:hyperlink r:id="rId4" w:history="1">
        <w:r w:rsidRPr="00D9463B">
          <w:rPr>
            <w:rStyle w:val="Hyperlink"/>
          </w:rPr>
          <w:t>www.rebuildweakley.com</w:t>
        </w:r>
      </w:hyperlink>
      <w:r>
        <w:rPr>
          <w:color w:val="000000" w:themeColor="text1"/>
        </w:rPr>
        <w:t xml:space="preserve"> and </w:t>
      </w:r>
      <w:hyperlink r:id="rId5" w:history="1">
        <w:r w:rsidRPr="00F03CDB">
          <w:rPr>
            <w:rStyle w:val="Hyperlink"/>
          </w:rPr>
          <w:t>https://www.facebook.com/WCLTRG</w:t>
        </w:r>
      </w:hyperlink>
      <w:r>
        <w:rPr>
          <w:color w:val="000000" w:themeColor="text1"/>
        </w:rPr>
        <w:t xml:space="preserve"> for more information regarding disaster recovery in Weakley County. </w:t>
      </w:r>
    </w:p>
    <w:p w14:paraId="469950C6" w14:textId="77777777" w:rsidR="00EB63C0" w:rsidRDefault="00EB63C0"/>
    <w:sectPr w:rsidR="00EB6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dSty">
    <w:altName w:val="Goudy Old Style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F9"/>
    <w:rsid w:val="000B3BF7"/>
    <w:rsid w:val="001357F9"/>
    <w:rsid w:val="00383C50"/>
    <w:rsid w:val="00E12D5B"/>
    <w:rsid w:val="00EB63C0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3904"/>
  <w15:chartTrackingRefBased/>
  <w15:docId w15:val="{801621DC-F4B0-4479-B232-F2E2EB97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5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WCLTRG" TargetMode="External"/><Relationship Id="rId4" Type="http://schemas.openxmlformats.org/officeDocument/2006/relationships/hyperlink" Target="http://www.rebuildweak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Weakley PC</dc:creator>
  <cp:keywords/>
  <dc:description/>
  <cp:lastModifiedBy>Weakley PC</cp:lastModifiedBy>
  <cp:revision>1</cp:revision>
  <dcterms:created xsi:type="dcterms:W3CDTF">2023-04-26T12:45:00Z</dcterms:created>
  <dcterms:modified xsi:type="dcterms:W3CDTF">2023-05-03T03:44:00Z</dcterms:modified>
</cp:coreProperties>
</file>